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A3" w:rsidRDefault="001456A3" w:rsidP="001456A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Майкопский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районный суд вынес приговор по уголовному делу в отношении жительницы ст. Даховская. Она признана виновной в совершении преступлений, предусмотренных ч.1 ст.105 УК РФ (убийство) и п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.«</w:t>
      </w:r>
      <w:proofErr w:type="gramEnd"/>
      <w:r>
        <w:rPr>
          <w:rFonts w:ascii="Arial" w:hAnsi="Arial" w:cs="Arial"/>
          <w:color w:val="3A3A3A"/>
          <w:sz w:val="21"/>
          <w:szCs w:val="21"/>
        </w:rPr>
        <w:t>в» ч.2 ст.158 УК РФ (кража, совершенная с причинением значительного ущерба гражданину).</w:t>
      </w:r>
    </w:p>
    <w:p w:rsidR="001456A3" w:rsidRDefault="001456A3" w:rsidP="001456A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суде установлено, что в феврале 2018 года жительница ст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.Д</w:t>
      </w:r>
      <w:proofErr w:type="gramEnd"/>
      <w:r>
        <w:rPr>
          <w:rFonts w:ascii="Arial" w:hAnsi="Arial" w:cs="Arial"/>
          <w:color w:val="3A3A3A"/>
          <w:sz w:val="21"/>
          <w:szCs w:val="21"/>
        </w:rPr>
        <w:t>аховская в гостях у своей знакомой употребляла спиртные напитки и в ходе возникшего конфликта задушила ее, сняла с нее ювелирные украшения и скрылась с места преступления.</w:t>
      </w:r>
    </w:p>
    <w:p w:rsidR="001456A3" w:rsidRDefault="001456A3" w:rsidP="001456A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Суд с учетом позиции государственного обвинения назначил подсудимой наказание в виде 11 лет лишения свободы в исправительной колонии общего режима и с ограничением свободы на 2 года после отбытия лишения свободы.</w:t>
      </w:r>
    </w:p>
    <w:p w:rsidR="001456A3" w:rsidRPr="00FC29AD" w:rsidRDefault="001456A3" w:rsidP="001456A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Приговор суда не вступил в законную силу.</w:t>
      </w:r>
    </w:p>
    <w:p w:rsidR="00422B0E" w:rsidRDefault="00422B0E"/>
    <w:sectPr w:rsidR="00422B0E" w:rsidSect="009F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A3"/>
    <w:rsid w:val="001456A3"/>
    <w:rsid w:val="004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2018-10-26T07:30:00Z</dcterms:created>
  <dcterms:modified xsi:type="dcterms:W3CDTF">2018-10-26T07:30:00Z</dcterms:modified>
</cp:coreProperties>
</file>